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AB2FE5" w14:textId="77777777" w:rsidR="00570DB2" w:rsidRDefault="00570DB2">
      <w:pPr>
        <w:pStyle w:val="Standard"/>
        <w:jc w:val="both"/>
        <w:rPr>
          <w:rFonts w:asciiTheme="minorHAnsi" w:eastAsiaTheme="minorHAnsi" w:hAnsiTheme="minorHAnsi" w:cstheme="minorBidi"/>
          <w:b/>
          <w:bCs/>
          <w:kern w:val="0"/>
          <w:sz w:val="22"/>
          <w:szCs w:val="22"/>
          <w:lang w:eastAsia="en-US"/>
        </w:rPr>
      </w:pPr>
    </w:p>
    <w:p w14:paraId="27593EC8" w14:textId="77777777" w:rsidR="000615E3" w:rsidRDefault="000615E3">
      <w:pPr>
        <w:pStyle w:val="Standard"/>
        <w:jc w:val="both"/>
        <w:rPr>
          <w:rFonts w:ascii="Calibri" w:hAnsi="Calibri"/>
          <w:color w:val="222222"/>
          <w:shd w:val="clear" w:color="auto" w:fill="FFFFFF"/>
        </w:rPr>
      </w:pPr>
    </w:p>
    <w:p w14:paraId="25CA4949" w14:textId="77777777" w:rsidR="000615E3" w:rsidRDefault="000615E3">
      <w:pPr>
        <w:pStyle w:val="Standard"/>
        <w:jc w:val="both"/>
        <w:rPr>
          <w:rFonts w:ascii="Calibri" w:hAnsi="Calibri"/>
          <w:color w:val="222222"/>
          <w:shd w:val="clear" w:color="auto" w:fill="FFFFFF"/>
        </w:rPr>
      </w:pPr>
    </w:p>
    <w:p w14:paraId="5C6A4C0F" w14:textId="77777777" w:rsidR="000615E3" w:rsidRDefault="000615E3">
      <w:pPr>
        <w:pStyle w:val="Standard"/>
        <w:jc w:val="both"/>
        <w:rPr>
          <w:rFonts w:ascii="Calibri" w:hAnsi="Calibri"/>
          <w:color w:val="222222"/>
          <w:shd w:val="clear" w:color="auto" w:fill="FFFFFF"/>
        </w:rPr>
      </w:pPr>
    </w:p>
    <w:p w14:paraId="74F4D3C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b/>
          <w:bCs/>
          <w:kern w:val="0"/>
          <w:sz w:val="22"/>
          <w:szCs w:val="22"/>
          <w:lang w:eastAsia="en-US" w:bidi="ar-SA"/>
        </w:rPr>
      </w:pPr>
      <w:r w:rsidRPr="000615E3">
        <w:rPr>
          <w:rFonts w:asciiTheme="minorHAnsi" w:eastAsiaTheme="minorHAnsi" w:hAnsiTheme="minorHAnsi" w:cstheme="minorBidi"/>
          <w:b/>
          <w:bCs/>
          <w:kern w:val="0"/>
          <w:sz w:val="22"/>
          <w:szCs w:val="22"/>
          <w:lang w:eastAsia="en-US" w:bidi="ar-SA"/>
        </w:rPr>
        <w:t>Diastemata</w:t>
      </w:r>
    </w:p>
    <w:p w14:paraId="6F6D94EB" w14:textId="345307B3"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Dental pain in horses can go undetected because of a subtlety or absence of clinical signs. A horse will continue eating despite very painful dental conditions. In equine dentistry use of specially designed cameras (oral endoscopy) allow access into the horse</w:t>
      </w:r>
      <w:r w:rsidR="00FF7572">
        <w:rPr>
          <w:rFonts w:asciiTheme="minorHAnsi" w:eastAsiaTheme="minorHAnsi" w:hAnsiTheme="minorHAnsi" w:cstheme="minorBidi"/>
          <w:kern w:val="0"/>
          <w:sz w:val="22"/>
          <w:szCs w:val="22"/>
          <w:lang w:eastAsia="en-US" w:bidi="ar-SA"/>
        </w:rPr>
        <w:t>’</w:t>
      </w:r>
      <w:r w:rsidRPr="000615E3">
        <w:rPr>
          <w:rFonts w:asciiTheme="minorHAnsi" w:eastAsiaTheme="minorHAnsi" w:hAnsiTheme="minorHAnsi" w:cstheme="minorBidi"/>
          <w:kern w:val="0"/>
          <w:sz w:val="22"/>
          <w:szCs w:val="22"/>
          <w:lang w:eastAsia="en-US" w:bidi="ar-SA"/>
        </w:rPr>
        <w:t>s mouth and detailed imaging of horse</w:t>
      </w:r>
      <w:r w:rsidR="00FF7572">
        <w:rPr>
          <w:rFonts w:asciiTheme="minorHAnsi" w:eastAsiaTheme="minorHAnsi" w:hAnsiTheme="minorHAnsi" w:cstheme="minorBidi"/>
          <w:kern w:val="0"/>
          <w:sz w:val="22"/>
          <w:szCs w:val="22"/>
          <w:lang w:eastAsia="en-US" w:bidi="ar-SA"/>
        </w:rPr>
        <w:t>’</w:t>
      </w:r>
      <w:r w:rsidRPr="000615E3">
        <w:rPr>
          <w:rFonts w:asciiTheme="minorHAnsi" w:eastAsiaTheme="minorHAnsi" w:hAnsiTheme="minorHAnsi" w:cstheme="minorBidi"/>
          <w:kern w:val="0"/>
          <w:sz w:val="22"/>
          <w:szCs w:val="22"/>
          <w:lang w:eastAsia="en-US" w:bidi="ar-SA"/>
        </w:rPr>
        <w:t xml:space="preserve">s dentition. Use of these cameras in equine dental examinations has highlighted that oral pathology exists at a much higher prevalence than previously reported. Results from studies using oral endoscopy have shown diastema (pleural: diastemata) is a common dental condition that horse’s suffer from. Diastemata are abnormal gaps between the teeth which can occur for a number of different reasons. The gaps allow food to become trapped between the teeth. This food causes painful periodontal disease as the soft tissue around the teeth are affected. </w:t>
      </w:r>
    </w:p>
    <w:p w14:paraId="59F6DF8D" w14:textId="77777777"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b/>
          <w:bCs/>
          <w:kern w:val="0"/>
          <w:sz w:val="22"/>
          <w:szCs w:val="22"/>
          <w:lang w:eastAsia="en-US" w:bidi="ar-SA"/>
        </w:rPr>
      </w:pPr>
      <w:r w:rsidRPr="000615E3">
        <w:rPr>
          <w:rFonts w:asciiTheme="minorHAnsi" w:eastAsiaTheme="minorHAnsi" w:hAnsiTheme="minorHAnsi" w:cstheme="minorBidi"/>
          <w:b/>
          <w:bCs/>
          <w:kern w:val="0"/>
          <w:sz w:val="22"/>
          <w:szCs w:val="22"/>
          <w:lang w:eastAsia="en-US" w:bidi="ar-SA"/>
        </w:rPr>
        <w:t>Diastemata</w:t>
      </w:r>
    </w:p>
    <w:p w14:paraId="6EEAF884" w14:textId="76081D4B"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Diastemata are responsible for what is thought to be the most painful oral condition in horse</w:t>
      </w:r>
      <w:r w:rsidR="00FF7572">
        <w:rPr>
          <w:rFonts w:asciiTheme="minorHAnsi" w:eastAsiaTheme="minorHAnsi" w:hAnsiTheme="minorHAnsi" w:cstheme="minorBidi"/>
          <w:kern w:val="0"/>
          <w:sz w:val="22"/>
          <w:szCs w:val="22"/>
          <w:lang w:eastAsia="en-US" w:bidi="ar-SA"/>
        </w:rPr>
        <w:t>’</w:t>
      </w:r>
      <w:r w:rsidRPr="000615E3">
        <w:rPr>
          <w:rFonts w:asciiTheme="minorHAnsi" w:eastAsiaTheme="minorHAnsi" w:hAnsiTheme="minorHAnsi" w:cstheme="minorBidi"/>
          <w:kern w:val="0"/>
          <w:sz w:val="22"/>
          <w:szCs w:val="22"/>
          <w:lang w:eastAsia="en-US" w:bidi="ar-SA"/>
        </w:rPr>
        <w:t>s, because of the associated significant periodontal disease.  The presence of at least one cheek tooth diastema was found in half (50%) of horse</w:t>
      </w:r>
      <w:r w:rsidR="00FF7572">
        <w:rPr>
          <w:rFonts w:asciiTheme="minorHAnsi" w:eastAsiaTheme="minorHAnsi" w:hAnsiTheme="minorHAnsi" w:cstheme="minorBidi"/>
          <w:kern w:val="0"/>
          <w:sz w:val="22"/>
          <w:szCs w:val="22"/>
          <w:lang w:eastAsia="en-US" w:bidi="ar-SA"/>
        </w:rPr>
        <w:t>’</w:t>
      </w:r>
      <w:r w:rsidRPr="000615E3">
        <w:rPr>
          <w:rFonts w:asciiTheme="minorHAnsi" w:eastAsiaTheme="minorHAnsi" w:hAnsiTheme="minorHAnsi" w:cstheme="minorBidi"/>
          <w:kern w:val="0"/>
          <w:sz w:val="22"/>
          <w:szCs w:val="22"/>
          <w:lang w:eastAsia="en-US" w:bidi="ar-SA"/>
        </w:rPr>
        <w:t>s in one large study. The most common clinical sign of oral pain resulting from diastemata is quidding. Some horse</w:t>
      </w:r>
      <w:r w:rsidR="00FF7572">
        <w:rPr>
          <w:rFonts w:asciiTheme="minorHAnsi" w:eastAsiaTheme="minorHAnsi" w:hAnsiTheme="minorHAnsi" w:cstheme="minorBidi"/>
          <w:kern w:val="0"/>
          <w:sz w:val="22"/>
          <w:szCs w:val="22"/>
          <w:lang w:eastAsia="en-US" w:bidi="ar-SA"/>
        </w:rPr>
        <w:t>’</w:t>
      </w:r>
      <w:r w:rsidRPr="000615E3">
        <w:rPr>
          <w:rFonts w:asciiTheme="minorHAnsi" w:eastAsiaTheme="minorHAnsi" w:hAnsiTheme="minorHAnsi" w:cstheme="minorBidi"/>
          <w:kern w:val="0"/>
          <w:sz w:val="22"/>
          <w:szCs w:val="22"/>
          <w:lang w:eastAsia="en-US" w:bidi="ar-SA"/>
        </w:rPr>
        <w:t>s also make odd faces when eating. A smelly mouth and food packing on the inside of the cheeks can also occur.</w:t>
      </w:r>
    </w:p>
    <w:p w14:paraId="474CC70E" w14:textId="10B2BEEB"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 xml:space="preserve">Diastemata arise for different reasons. Depending of the cause of the diastemata, they are classified as primary, secondary or senile. Primary diastemata occur when the cheek teeth are not angled together sufficiently or when the teeth have erupted too far apart from each other. This type is often identified in younger horses. These cheek teeth diastemata carry a better prognosis than diastemata that develop later in life, as the spaces can close with ongoing dental eruption. </w:t>
      </w:r>
    </w:p>
    <w:p w14:paraId="677D3B86" w14:textId="44BC05D5"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Secondary diastemata are acquired, so they develop because of changes within the horse</w:t>
      </w:r>
      <w:r w:rsidR="00FF7572">
        <w:rPr>
          <w:rFonts w:asciiTheme="minorHAnsi" w:eastAsiaTheme="minorHAnsi" w:hAnsiTheme="minorHAnsi" w:cstheme="minorBidi"/>
          <w:kern w:val="0"/>
          <w:sz w:val="22"/>
          <w:szCs w:val="22"/>
          <w:lang w:eastAsia="en-US" w:bidi="ar-SA"/>
        </w:rPr>
        <w:t>’</w:t>
      </w:r>
      <w:r w:rsidRPr="000615E3">
        <w:rPr>
          <w:rFonts w:asciiTheme="minorHAnsi" w:eastAsiaTheme="minorHAnsi" w:hAnsiTheme="minorHAnsi" w:cstheme="minorBidi"/>
          <w:kern w:val="0"/>
          <w:sz w:val="22"/>
          <w:szCs w:val="22"/>
          <w:lang w:eastAsia="en-US" w:bidi="ar-SA"/>
        </w:rPr>
        <w:t xml:space="preserve">s mouth during the life of the horse.  These diastemata can develop when teeth erupt in the wrong position or direction. They can also occur because of opposite overgrown teeth pressing food down into a gap. Sometimes extra teeth cause diastemata because they often have irregular positions and edges. Other secondary diastemata cases occur if a tooth is missing because the remaining teeth move to fill the gap. This is seen following extraction or loss of a cheek tooth. </w:t>
      </w:r>
    </w:p>
    <w:p w14:paraId="4A6182E8" w14:textId="77777777"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 xml:space="preserve">Senile diastemata describe those cases that develop as the teeth age. Prevalence of senile diastemata significantly increases with age. Due to the continuous eruption of hypsodont teeth, the narrower ends of the teeth eventually erupt and the overall tooth diameter becomes smaller in size resulting in senile diastemata. </w:t>
      </w:r>
    </w:p>
    <w:p w14:paraId="19E7E875" w14:textId="77777777"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b/>
          <w:bCs/>
          <w:kern w:val="0"/>
          <w:sz w:val="22"/>
          <w:szCs w:val="22"/>
          <w:lang w:eastAsia="en-US" w:bidi="ar-SA"/>
        </w:rPr>
      </w:pPr>
      <w:r w:rsidRPr="000615E3">
        <w:rPr>
          <w:rFonts w:asciiTheme="minorHAnsi" w:eastAsiaTheme="minorHAnsi" w:hAnsiTheme="minorHAnsi" w:cstheme="minorBidi"/>
          <w:b/>
          <w:bCs/>
          <w:kern w:val="0"/>
          <w:sz w:val="22"/>
          <w:szCs w:val="22"/>
          <w:lang w:eastAsia="en-US" w:bidi="ar-SA"/>
        </w:rPr>
        <w:t>Treatment of diastemata</w:t>
      </w:r>
    </w:p>
    <w:p w14:paraId="70CD92BD" w14:textId="0353E794" w:rsidR="000615E3" w:rsidRPr="000615E3" w:rsidRDefault="000615E3" w:rsidP="000615E3">
      <w:pPr>
        <w:widowControl/>
        <w:suppressAutoHyphens w:val="0"/>
        <w:autoSpaceDN/>
        <w:spacing w:after="160" w:line="259" w:lineRule="auto"/>
        <w:jc w:val="both"/>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 xml:space="preserve">Diastemata can be complicated to treat, and </w:t>
      </w:r>
      <w:r w:rsidR="00FF7572">
        <w:rPr>
          <w:rFonts w:asciiTheme="minorHAnsi" w:eastAsiaTheme="minorHAnsi" w:hAnsiTheme="minorHAnsi" w:cstheme="minorBidi"/>
          <w:kern w:val="0"/>
          <w:sz w:val="22"/>
          <w:szCs w:val="22"/>
          <w:lang w:eastAsia="en-US" w:bidi="ar-SA"/>
        </w:rPr>
        <w:t xml:space="preserve">this </w:t>
      </w:r>
      <w:r w:rsidRPr="000615E3">
        <w:rPr>
          <w:rFonts w:asciiTheme="minorHAnsi" w:eastAsiaTheme="minorHAnsi" w:hAnsiTheme="minorHAnsi" w:cstheme="minorBidi"/>
          <w:kern w:val="0"/>
          <w:sz w:val="22"/>
          <w:szCs w:val="22"/>
          <w:lang w:eastAsia="en-US" w:bidi="ar-SA"/>
        </w:rPr>
        <w:t xml:space="preserve">should only be carried out by a vet.  The first stage of treatment should be identifying the cause. Corrective equilibration of the cheek teeth is important, which involves addressing any potential overgrown teeth opposite the diastemata or any sharp enamel points. This simple treatment can provide resolution in many cases. Reducing the  surface of the crown immediately adjacent to the diastemata can help to reduce the compression of food into the space.  Cleaning out trapped food from the periodontal pockets and gaps between the teeth is essential to allow healing of the gums.  Placement of temporary packing such as dental putty is also commonly used. A ‘chlorhexidine’ based mouth wash can be useful for cleaning the cleared periodontal pockets; however it will not be useful for treating periodontal disease </w:t>
      </w:r>
      <w:r w:rsidRPr="000615E3">
        <w:rPr>
          <w:rFonts w:asciiTheme="minorHAnsi" w:eastAsiaTheme="minorHAnsi" w:hAnsiTheme="minorHAnsi" w:cstheme="minorBidi"/>
          <w:kern w:val="0"/>
          <w:sz w:val="22"/>
          <w:szCs w:val="22"/>
          <w:lang w:eastAsia="en-US" w:bidi="ar-SA"/>
        </w:rPr>
        <w:lastRenderedPageBreak/>
        <w:t>caused by diastemata without addressing the food packing itself. Widening of the space between the teeth, with the aim of opening diastemata</w:t>
      </w:r>
      <w:r w:rsidR="000A27BC">
        <w:rPr>
          <w:rFonts w:asciiTheme="minorHAnsi" w:eastAsiaTheme="minorHAnsi" w:hAnsiTheme="minorHAnsi" w:cstheme="minorBidi"/>
          <w:kern w:val="0"/>
          <w:sz w:val="22"/>
          <w:szCs w:val="22"/>
          <w:lang w:eastAsia="en-US" w:bidi="ar-SA"/>
        </w:rPr>
        <w:t>,</w:t>
      </w:r>
      <w:r w:rsidRPr="000615E3">
        <w:rPr>
          <w:rFonts w:asciiTheme="minorHAnsi" w:eastAsiaTheme="minorHAnsi" w:hAnsiTheme="minorHAnsi" w:cstheme="minorBidi"/>
          <w:kern w:val="0"/>
          <w:sz w:val="22"/>
          <w:szCs w:val="22"/>
          <w:lang w:eastAsia="en-US" w:bidi="ar-SA"/>
        </w:rPr>
        <w:t xml:space="preserve"> can be considered for select cases of valve diastemata where the top of the gap is narrower than the bottom of the gap. Awareness of how close the living and sensitive pulp of each tooth is to the space is essential when widening the gaps. Heat damage and pulp exposure are both risks of this procedure and careful visualisation during widening of the diastemata is important, with use of water irrigation. For this reason, only vets are qualified to carry out this procedure.  Dietary modification, substituting long fibre with short fibre and grass can also be reasonably successful, although feeding short fibres will increase vertical chewing actions and increase the development of sharp enamel points. In conclusion, some diastemata can be easily resolved, but many need to be managed over time and involve multiple visits to sort out. Horse owners should be aware that these are not ‘one visit’ fixes and repeat treatments and lifetime management is often required.</w:t>
      </w:r>
    </w:p>
    <w:p w14:paraId="19834C6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15F87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b/>
          <w:bCs/>
          <w:kern w:val="0"/>
          <w:sz w:val="22"/>
          <w:szCs w:val="22"/>
          <w:lang w:eastAsia="en-US" w:bidi="ar-SA"/>
        </w:rPr>
        <w:t>Images</w:t>
      </w:r>
    </w:p>
    <w:p w14:paraId="2EEA7F5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23313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23452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noProof/>
          <w:kern w:val="0"/>
          <w:sz w:val="22"/>
          <w:szCs w:val="22"/>
          <w:lang w:eastAsia="en-US" w:bidi="ar-SA"/>
        </w:rPr>
        <w:drawing>
          <wp:inline distT="0" distB="0" distL="0" distR="0" wp14:anchorId="16FE99A8" wp14:editId="4059834B">
            <wp:extent cx="2544891" cy="1908669"/>
            <wp:effectExtent l="0" t="0" r="8255" b="0"/>
            <wp:docPr id="17" name="Picture 17">
              <a:extLst xmlns:a="http://schemas.openxmlformats.org/drawingml/2006/main">
                <a:ext uri="{FF2B5EF4-FFF2-40B4-BE49-F238E27FC236}">
                  <a16:creationId xmlns:a16="http://schemas.microsoft.com/office/drawing/2014/main" id="{C20FC442-3001-CE46-83BA-FF9620DFA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FF2B5EF4-FFF2-40B4-BE49-F238E27FC236}">
                          <a16:creationId xmlns:a16="http://schemas.microsoft.com/office/drawing/2014/main" id="{C20FC442-3001-CE46-83BA-FF9620DFAB0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4891" cy="1908669"/>
                    </a:xfrm>
                    <a:prstGeom prst="rect">
                      <a:avLst/>
                    </a:prstGeom>
                  </pic:spPr>
                </pic:pic>
              </a:graphicData>
            </a:graphic>
          </wp:inline>
        </w:drawing>
      </w:r>
    </w:p>
    <w:p w14:paraId="7E20918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Valve diastema found between 308 and 309 mandibular cheek teeth.</w:t>
      </w:r>
    </w:p>
    <w:p w14:paraId="427CCAC1" w14:textId="77777777" w:rsidR="00C61CBC" w:rsidRDefault="00C61CBC" w:rsidP="00E53150">
      <w:pPr>
        <w:pStyle w:val="Standard"/>
        <w:jc w:val="both"/>
        <w:rPr>
          <w:rFonts w:ascii="Calibri" w:hAnsi="Calibri"/>
          <w:color w:val="222222"/>
          <w:shd w:val="clear" w:color="auto" w:fill="FFFFFF"/>
        </w:rPr>
      </w:pPr>
    </w:p>
    <w:p w14:paraId="487B23C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717948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EAAE59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36180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F43FC3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307F2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noProof/>
          <w:kern w:val="0"/>
          <w:sz w:val="22"/>
          <w:szCs w:val="22"/>
          <w:lang w:eastAsia="en-US" w:bidi="ar-SA"/>
        </w:rPr>
        <w:lastRenderedPageBreak/>
        <mc:AlternateContent>
          <mc:Choice Requires="wps">
            <w:drawing>
              <wp:anchor distT="0" distB="0" distL="114300" distR="114300" simplePos="0" relativeHeight="251659264" behindDoc="0" locked="0" layoutInCell="1" allowOverlap="1" wp14:anchorId="450EB61A" wp14:editId="606CE5D3">
                <wp:simplePos x="0" y="0"/>
                <wp:positionH relativeFrom="column">
                  <wp:posOffset>491490</wp:posOffset>
                </wp:positionH>
                <wp:positionV relativeFrom="paragraph">
                  <wp:posOffset>1739900</wp:posOffset>
                </wp:positionV>
                <wp:extent cx="245110" cy="678180"/>
                <wp:effectExtent l="0" t="25400" r="34290" b="20320"/>
                <wp:wrapNone/>
                <wp:docPr id="9" name="Straight Arrow Connector 9"/>
                <wp:cNvGraphicFramePr/>
                <a:graphic xmlns:a="http://schemas.openxmlformats.org/drawingml/2006/main">
                  <a:graphicData uri="http://schemas.microsoft.com/office/word/2010/wordprocessingShape">
                    <wps:wsp>
                      <wps:cNvCnPr/>
                      <wps:spPr>
                        <a:xfrm flipV="1">
                          <a:off x="0" y="0"/>
                          <a:ext cx="245110" cy="67818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6AA3E5" id="_x0000_t32" coordsize="21600,21600" o:spt="32" o:oned="t" path="m,l21600,21600e" filled="f">
                <v:path arrowok="t" fillok="f" o:connecttype="none"/>
                <o:lock v:ext="edit" shapetype="t"/>
              </v:shapetype>
              <v:shape id="Straight Arrow Connector 9" o:spid="_x0000_s1026" type="#_x0000_t32" style="position:absolute;margin-left:38.7pt;margin-top:137pt;width:19.3pt;height:53.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" strokecolor="#ffc000 [3207]" strokeweight=".5pt">
                <v:stroke endarrow="block" joinstyle="miter"/>
              </v:shape>
            </w:pict>
          </mc:Fallback>
        </mc:AlternateContent>
      </w:r>
      <w:r w:rsidRPr="000615E3">
        <w:rPr>
          <w:rFonts w:asciiTheme="minorHAnsi" w:eastAsiaTheme="minorHAnsi" w:hAnsiTheme="minorHAnsi" w:cstheme="minorBidi"/>
          <w:noProof/>
          <w:kern w:val="0"/>
          <w:sz w:val="22"/>
          <w:szCs w:val="22"/>
          <w:lang w:eastAsia="en-US" w:bidi="ar-SA"/>
        </w:rPr>
        <w:drawing>
          <wp:inline distT="0" distB="0" distL="0" distR="0" wp14:anchorId="4CB9BC73" wp14:editId="0C7F57BB">
            <wp:extent cx="3678865" cy="337073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4589" cy="3375976"/>
                    </a:xfrm>
                    <a:prstGeom prst="rect">
                      <a:avLst/>
                    </a:prstGeom>
                    <a:noFill/>
                    <a:ln>
                      <a:noFill/>
                    </a:ln>
                  </pic:spPr>
                </pic:pic>
              </a:graphicData>
            </a:graphic>
          </wp:inline>
        </w:drawing>
      </w:r>
    </w:p>
    <w:p w14:paraId="158A266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 xml:space="preserve">Overgrowth on mesial cheek tooth 108. </w:t>
      </w:r>
    </w:p>
    <w:p w14:paraId="6FF0ECB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B6803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noProof/>
          <w:kern w:val="0"/>
          <w:sz w:val="22"/>
          <w:szCs w:val="22"/>
          <w:lang w:eastAsia="en-US" w:bidi="ar-SA"/>
        </w:rPr>
        <mc:AlternateContent>
          <mc:Choice Requires="wps">
            <w:drawing>
              <wp:anchor distT="0" distB="0" distL="114300" distR="114300" simplePos="0" relativeHeight="251660288" behindDoc="0" locked="0" layoutInCell="1" allowOverlap="1" wp14:anchorId="0C554D25" wp14:editId="3F7D3E5D">
                <wp:simplePos x="0" y="0"/>
                <wp:positionH relativeFrom="column">
                  <wp:posOffset>560070</wp:posOffset>
                </wp:positionH>
                <wp:positionV relativeFrom="paragraph">
                  <wp:posOffset>2195830</wp:posOffset>
                </wp:positionV>
                <wp:extent cx="175895" cy="1198880"/>
                <wp:effectExtent l="0" t="25400" r="52705" b="7620"/>
                <wp:wrapNone/>
                <wp:docPr id="6" name="Straight Arrow Connector 6"/>
                <wp:cNvGraphicFramePr/>
                <a:graphic xmlns:a="http://schemas.openxmlformats.org/drawingml/2006/main">
                  <a:graphicData uri="http://schemas.microsoft.com/office/word/2010/wordprocessingShape">
                    <wps:wsp>
                      <wps:cNvCnPr/>
                      <wps:spPr>
                        <a:xfrm flipV="1">
                          <a:off x="0" y="0"/>
                          <a:ext cx="175895" cy="119888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7776A" id="Straight Arrow Connector 6" o:spid="_x0000_s1026" type="#_x0000_t32" style="position:absolute;margin-left:44.1pt;margin-top:172.9pt;width:13.85pt;height:94.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" strokecolor="#ffc000 [3207]" strokeweight=".5pt">
                <v:stroke endarrow="block" joinstyle="miter"/>
              </v:shape>
            </w:pict>
          </mc:Fallback>
        </mc:AlternateContent>
      </w:r>
      <w:r w:rsidRPr="000615E3">
        <w:rPr>
          <w:rFonts w:asciiTheme="minorHAnsi" w:eastAsiaTheme="minorHAnsi" w:hAnsiTheme="minorHAnsi" w:cstheme="minorBidi"/>
          <w:noProof/>
          <w:kern w:val="0"/>
          <w:sz w:val="22"/>
          <w:szCs w:val="22"/>
          <w:lang w:eastAsia="en-US" w:bidi="ar-SA"/>
        </w:rPr>
        <w:drawing>
          <wp:inline distT="0" distB="0" distL="0" distR="0" wp14:anchorId="42CE38EC" wp14:editId="7C6A85FB">
            <wp:extent cx="3742660" cy="392883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8947" cy="3935439"/>
                    </a:xfrm>
                    <a:prstGeom prst="rect">
                      <a:avLst/>
                    </a:prstGeom>
                    <a:noFill/>
                    <a:ln>
                      <a:noFill/>
                    </a:ln>
                  </pic:spPr>
                </pic:pic>
              </a:graphicData>
            </a:graphic>
          </wp:inline>
        </w:drawing>
      </w:r>
    </w:p>
    <w:p w14:paraId="5C60FC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 xml:space="preserve"> Initial treatment of overgrowth to address the cause of the diastema found between the mandibular cheek teeth 407 and 408. </w:t>
      </w:r>
    </w:p>
    <w:p w14:paraId="0FBAB1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3615B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ECDDC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noProof/>
          <w:kern w:val="0"/>
          <w:sz w:val="22"/>
          <w:szCs w:val="22"/>
          <w:lang w:eastAsia="en-US" w:bidi="ar-SA"/>
        </w:rPr>
        <w:drawing>
          <wp:inline distT="0" distB="0" distL="0" distR="0" wp14:anchorId="1DA2DCA1" wp14:editId="0BF6DC71">
            <wp:extent cx="3593805" cy="402660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1020" cy="4034690"/>
                    </a:xfrm>
                    <a:prstGeom prst="rect">
                      <a:avLst/>
                    </a:prstGeom>
                    <a:noFill/>
                    <a:ln>
                      <a:noFill/>
                    </a:ln>
                  </pic:spPr>
                </pic:pic>
              </a:graphicData>
            </a:graphic>
          </wp:inline>
        </w:drawing>
      </w:r>
    </w:p>
    <w:p w14:paraId="23043D1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t xml:space="preserve">Overgrowth of mesial cheek tooth 108 has cause a diastema between 407 and 408 mandibular cheek teeth. </w:t>
      </w:r>
    </w:p>
    <w:p w14:paraId="74A928A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8893B1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noProof/>
          <w:kern w:val="0"/>
          <w:sz w:val="22"/>
          <w:szCs w:val="22"/>
          <w:lang w:eastAsia="en-US" w:bidi="ar-SA"/>
        </w:rPr>
        <w:drawing>
          <wp:inline distT="0" distB="0" distL="0" distR="0" wp14:anchorId="18738743" wp14:editId="2318CF43">
            <wp:extent cx="4167655" cy="312597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7860" cy="3133626"/>
                    </a:xfrm>
                    <a:prstGeom prst="rect">
                      <a:avLst/>
                    </a:prstGeom>
                  </pic:spPr>
                </pic:pic>
              </a:graphicData>
            </a:graphic>
          </wp:inline>
        </w:drawing>
      </w:r>
    </w:p>
    <w:p w14:paraId="63AD2358" w14:textId="77777777" w:rsid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0615E3">
        <w:rPr>
          <w:rFonts w:asciiTheme="minorHAnsi" w:eastAsiaTheme="minorHAnsi" w:hAnsiTheme="minorHAnsi" w:cstheme="minorBidi"/>
          <w:kern w:val="0"/>
          <w:sz w:val="22"/>
          <w:szCs w:val="22"/>
          <w:lang w:eastAsia="en-US" w:bidi="ar-SA"/>
        </w:rPr>
        <w:lastRenderedPageBreak/>
        <w:t xml:space="preserve"> Diastema which has been partially widened. </w:t>
      </w:r>
    </w:p>
    <w:p w14:paraId="0431CB14" w14:textId="77777777" w:rsidR="00233081" w:rsidRPr="004413DC" w:rsidRDefault="00233081" w:rsidP="00E5315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r w:rsidRPr="004413DC">
        <w:rPr>
          <w:rFonts w:asciiTheme="minorHAnsi" w:eastAsiaTheme="minorHAnsi" w:hAnsiTheme="minorHAnsi" w:cstheme="minorBidi"/>
          <w:kern w:val="0"/>
          <w:sz w:val="22"/>
          <w:szCs w:val="22"/>
          <w:lang w:eastAsia="en-US" w:bidi="ar-SA"/>
        </w:rPr>
        <w:t xml:space="preserve">Author: </w:t>
      </w:r>
      <w:proofErr w:type="spellStart"/>
      <w:r w:rsidRPr="004413DC">
        <w:rPr>
          <w:rFonts w:asciiTheme="minorHAnsi" w:eastAsiaTheme="minorHAnsi" w:hAnsiTheme="minorHAnsi" w:cstheme="minorBidi"/>
          <w:kern w:val="0"/>
          <w:sz w:val="22"/>
          <w:szCs w:val="22"/>
          <w:lang w:eastAsia="en-US" w:bidi="ar-SA"/>
        </w:rPr>
        <w:t>Neaera</w:t>
      </w:r>
      <w:proofErr w:type="spellEnd"/>
      <w:r w:rsidRPr="004413DC">
        <w:rPr>
          <w:rFonts w:asciiTheme="minorHAnsi" w:eastAsiaTheme="minorHAnsi" w:hAnsiTheme="minorHAnsi" w:cstheme="minorBidi"/>
          <w:kern w:val="0"/>
          <w:sz w:val="22"/>
          <w:szCs w:val="22"/>
          <w:lang w:eastAsia="en-US" w:bidi="ar-SA"/>
        </w:rPr>
        <w:t xml:space="preserve"> Fletcher </w:t>
      </w:r>
      <w:proofErr w:type="spellStart"/>
      <w:r w:rsidRPr="004413DC">
        <w:rPr>
          <w:rFonts w:asciiTheme="minorHAnsi" w:eastAsiaTheme="minorHAnsi" w:hAnsiTheme="minorHAnsi" w:cstheme="minorBidi"/>
          <w:kern w:val="0"/>
          <w:sz w:val="22"/>
          <w:szCs w:val="22"/>
          <w:lang w:eastAsia="en-US" w:bidi="ar-SA"/>
        </w:rPr>
        <w:t>Bsc</w:t>
      </w:r>
      <w:proofErr w:type="spellEnd"/>
      <w:r w:rsidRPr="004413DC">
        <w:rPr>
          <w:rFonts w:asciiTheme="minorHAnsi" w:eastAsiaTheme="minorHAnsi" w:hAnsiTheme="minorHAnsi" w:cstheme="minorBidi"/>
          <w:kern w:val="0"/>
          <w:sz w:val="22"/>
          <w:szCs w:val="22"/>
          <w:lang w:eastAsia="en-US" w:bidi="ar-SA"/>
        </w:rPr>
        <w:t xml:space="preserve">(Hons) BVMS </w:t>
      </w:r>
      <w:proofErr w:type="spellStart"/>
      <w:r w:rsidRPr="004413DC">
        <w:rPr>
          <w:rFonts w:asciiTheme="minorHAnsi" w:eastAsiaTheme="minorHAnsi" w:hAnsiTheme="minorHAnsi" w:cstheme="minorBidi"/>
          <w:kern w:val="0"/>
          <w:sz w:val="22"/>
          <w:szCs w:val="22"/>
          <w:lang w:eastAsia="en-US" w:bidi="ar-SA"/>
        </w:rPr>
        <w:t>CertAVP</w:t>
      </w:r>
      <w:proofErr w:type="spellEnd"/>
      <w:r w:rsidRPr="004413DC">
        <w:rPr>
          <w:rFonts w:asciiTheme="minorHAnsi" w:eastAsiaTheme="minorHAnsi" w:hAnsiTheme="minorHAnsi" w:cstheme="minorBidi"/>
          <w:kern w:val="0"/>
          <w:sz w:val="22"/>
          <w:szCs w:val="22"/>
          <w:lang w:eastAsia="en-US" w:bidi="ar-SA"/>
        </w:rPr>
        <w:t xml:space="preserve"> (EM, ED), MRCVS</w:t>
      </w:r>
    </w:p>
    <w:p w14:paraId="05486528" w14:textId="77777777" w:rsidR="00233081" w:rsidRPr="004413DC" w:rsidRDefault="00233081" w:rsidP="00E53150">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5D6D6C" w14:textId="77777777" w:rsidR="00233081" w:rsidRDefault="00233081" w:rsidP="00E53150">
      <w:pPr>
        <w:pStyle w:val="Standard"/>
        <w:jc w:val="both"/>
        <w:rPr>
          <w:rFonts w:ascii="Calibri" w:hAnsi="Calibri"/>
          <w:color w:val="222222"/>
          <w:shd w:val="clear" w:color="auto" w:fill="FFFFFF"/>
        </w:rPr>
      </w:pPr>
    </w:p>
    <w:p w14:paraId="2C3BA36C" w14:textId="77777777" w:rsidR="00233081" w:rsidRDefault="00233081" w:rsidP="00E53150">
      <w:pPr>
        <w:pStyle w:val="Standard"/>
        <w:jc w:val="both"/>
        <w:rPr>
          <w:rFonts w:ascii="Calibri" w:hAnsi="Calibri"/>
          <w:color w:val="222222"/>
          <w:shd w:val="clear" w:color="auto" w:fill="FFFFFF"/>
        </w:rPr>
      </w:pPr>
    </w:p>
    <w:p w14:paraId="06F94240" w14:textId="77777777" w:rsidR="00233081" w:rsidRPr="000615E3" w:rsidRDefault="00233081"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6F46D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EFCE19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66869D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B1A8F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ACAEC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B8E87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BB330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BA0D7B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81BCA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03080F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FD0FD3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90081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394438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EEBF8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737383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74BEC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C854A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1645B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17B06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D7CE1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F0929C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D95B68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891C9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1A668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DD3B0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32EC63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775F8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97E02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77F5EE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67E3B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978E4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3995C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32D8C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B3A8C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55DD91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5F280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90072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6F8F9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3E3F8E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CFC0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2A3C1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B5003F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B4EAC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9EC7A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5E2DD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1107E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6882A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4683B4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B7A02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881EB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0FE3F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A97A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CCB54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530A3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BA84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37A94D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0AC001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8CA7A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C09ADE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A6256B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9A5300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13040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338A44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F026D1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1FE18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1BA72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E926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7766BA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0C517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9D0DE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82A428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484F4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161CC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5ACAC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622B90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D21B90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1C4402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0DEB0C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307F2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8A281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C3029E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C399F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F5A06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17277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520C4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7AD9F9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CF31C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B475C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183E9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C272AF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A8DB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F9315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E7867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81D65B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AD4981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8DC80E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4AEF9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BD7735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3709C8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31013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D087A9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53C40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93295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A5B35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CDCF38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78733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E8DCA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6593B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1E08AE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3E8FD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2050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BAE12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5BA64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A06B75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B3DA9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D4F0B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822DED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CCABE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90C9E5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23214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C0B16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62ABF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6CCE2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A2D34F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5695B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BB9819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AD52F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55017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26C2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01454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CC84D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411458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5A658C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A90F2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5B645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8F317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6861D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B7D576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8E16F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136C1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26022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12D3F5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FE4277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CB4D9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86D2EC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A8E26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02A69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9BED86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80116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28622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4B366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7225D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3238E7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61C41F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1B946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19B81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BB847C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7A6C66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165C3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8DBD0E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E995C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324540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3B77A3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D941C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BCBA3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41C5A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48451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8EC69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655CC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8A53AE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D1660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D43925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51DE8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D2F9D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C6D52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EB967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F89C6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955D0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1EE38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0BBA4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6F57EB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30B45B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7E546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789B8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4F2849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6D5A83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A4111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306C8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C07AB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2FB79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6A3B74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1BC312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BB6B51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B4EA40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F7648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D7790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4B35B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59B44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C66FEF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64FE90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AC6EB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C2037F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102F0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6E9557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80B75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0610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B1B3B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48463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FBA00C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BB80B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45EAC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4DEA7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293E0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F3CBDF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84FEA6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E0EE3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1FFB5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1FB05E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1DACE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7F192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F48A9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7691A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BDE39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D02B3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1681E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8303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211AF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13AE8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1C1BA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5CE97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7595B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3FD16E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F65313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81E619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09226A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E0F3B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F2654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25598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E82AA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B8C1E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F46D9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1D71E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A6A2C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0BF5E4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905CD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545E9B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624BE6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A8EE2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C5104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C0D6F6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77511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6F435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D78165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2FE9D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ED9F8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0ED2D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BA79A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EDA2B3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B919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255D0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6E1ED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A22DB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C1B3B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18E16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8B14F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B1041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7F648C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521DF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55086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C30A95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1DE53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935C22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E66CAB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87B48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98A8D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93351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68E1D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ADB6B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A46BB9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69712B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B5597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36B89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53A0A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477B9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5E186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6DB876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E56B2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4CABF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26E9CE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86AA0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35B36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302D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45620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BCF1FC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4020E3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DE7814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56ACC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2FF68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12ADB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9FBA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BCB2E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3277E0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D1B1BB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037D1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E2E95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1EB6D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5589F0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3D9E2B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8DAE35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50532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93C5A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4119AF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73AC2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AA0690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6EAEE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CC184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9CC916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F39B1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791F72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C2A02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686D90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E419C3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13CC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8C58C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33684E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D94D3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94092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7305BB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3B2B9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A03E48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261AF2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8975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C645C1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2E970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364E73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073CF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BA9F9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B89C8E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FED770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FCF07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A298D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DCD669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E662F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6F4D9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01362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8695B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2B2FE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D98C4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7E683A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54DEE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FF72F5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8DFC8A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21F41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9E7B3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3E8AFE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B2595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1924B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0A21B0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F2DAE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C43B6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32727A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28C74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70A1B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6F8BD8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F8C9C6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5998A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842FC9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CE0FB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E12E04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532AF1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7451D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744CF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B991D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71CFDC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41CF1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B2442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ED58B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72637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5DA78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F1298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D31C6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F6492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6148E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5371A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00135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F1BF1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3D168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E95D07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46C6C5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E85BF3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04967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0C263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82322F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701116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F068FA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C32DF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FC79DF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8041E3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09009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169B45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F3872F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9FC6F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3A021D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3FB6A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4E4A2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7FAA3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B0BC1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D2DAC1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2F6BA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41F78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C2CF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924A2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33E0D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443DD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05366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03CF7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3B438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9B55F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3D7AC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9B4DC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02A07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3D27CF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1044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3213D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02FF8B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658DF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046F3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F2B37B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805643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E33C3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89214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CF90C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F18A7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59DA3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15218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B3548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BF039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9F92F9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A4749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1AE8C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2600AA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985A10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67E72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F258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37DAA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CC900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ABD9E4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76DE5C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15EBC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A02DFE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5453A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19B9A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F43E4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05A78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F96E7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60FA5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4AD49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C9837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C5161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AEE44F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D9212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D8E80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4908E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E6D1D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F0D1C1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FB894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CE4A5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507253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E2B12D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57D5DA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57E89F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7F885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19E79F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BA35C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ADD17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4A52B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5534E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5DBD2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D25264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3B050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3BD79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6C9DE9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6C5B6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CFB92D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3D88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AB093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D8C837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29BCD2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19830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3C41F5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F36C9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6993C0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FA1103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F7095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2ED4E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AB856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28A8B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DC48A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DCB51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1B2B1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4FCF3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CD58F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DB738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1EB831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10F80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07E2E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97D6B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615D3F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70C91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7DFAA4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A94831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E75073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A2428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DF6A2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EF7E84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95E52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C84AD1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8EFF2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83772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23A8A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09B7A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D7693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EC64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CE11E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192EA3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C31465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964F83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193F43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0C69F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4B463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D05E2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1B8D94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B74743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9ABF9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B4CF6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784C00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C806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AEC98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74FB4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D8D37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34918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BFF56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33773C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62361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FC2208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566541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B43AD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43019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A08E0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75F87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9C9B71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828AC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12094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FB73C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94E0C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80CD9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5C381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E12F4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DEF3E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B3EF71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9962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C75F65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4776CC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495B31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E0533A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89C736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03098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0928B1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EDD60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F38B5F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DAA96E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6B2C2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E88A1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A9BA46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FFF86B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8E11A1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B3A45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CB5C89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DE5C3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83BB5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B5BB0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D5335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91F802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885039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1E73EA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F5C3AA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420CC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0F1037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1F9A0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C6564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8C787B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9AD779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D1404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9BE9F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6C750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FD2CA4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A7419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8B127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515C2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49A2C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F69F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478CB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ED890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6AE3E1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8FBCF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650F85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B540CA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77385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B9463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C8437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D0F3A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C1F920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231D9E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81581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61C8C9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04B97B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F07126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58EC1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668B9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0714F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BD6A5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3A5F8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30BAB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578AD3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99040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3D1E1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B8617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8048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5FE12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4CF68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9A416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CCEF3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017A5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BFAE1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58617E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4EA1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790BD4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BA46D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3CEEE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A6590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B343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42C7C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F6D27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6F604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70E6C0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536C1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675C0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E41EA6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C97ED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A1455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1EF7F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1B9AD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0F26E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546A1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377166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A429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CC1AB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F2A560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633C33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AD5832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163FE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9E194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83C472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8384C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88C0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412C9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B58067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FC5E2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EB4684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11B73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4AEE57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A5E55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B5B1B2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2DB95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22C9A2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225F3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ABF49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D2E10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50FAEC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B0A49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A80E3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E359B5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94FFC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25E89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D5894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38E8A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41F68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9B8B2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366FE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6E9EE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4D28BB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C469AC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ABF5E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F06125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6FB330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E18B0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0A0670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9E95A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2E0BE8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2FB039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2C6501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CFB42B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3B67C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80A377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AFE536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9D17BD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488CB8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F423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FD077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143D1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777910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103FAA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0B2F61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969C2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8F163E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F9365B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4B22FE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E414D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FF91B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85A94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FBC62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11764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DF38F7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D44E1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2C5354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299CC1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38873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A9486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4AE95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E66D3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7F9DE0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7C7B21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3073C3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79E2ED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771F8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700835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BA59A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0EEB8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06DB3C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B96425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E7CD3A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D0D2A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72D064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55976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F9CF4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356D63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5640A2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9E6CA7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5F235F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80BF19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3FC03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BDC4B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83065F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C390A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909F2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73637D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0A08E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055EA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B0D6F2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6F26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C1A7C4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F1E774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D29D3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0E5DFD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DC9BA1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F4BC8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F2500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3F5F30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D79AB2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FA9212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669073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647B2F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7A94E4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2BC0C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A9019E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53E1A4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A8285C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C52426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ACA954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8CE9F0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9B8040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38009D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207446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BD799C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9324A6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5CD0E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8C6B0B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75456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2F5393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4A1E6C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21F1F4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F00EA5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2A36B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B81C5A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C89445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9102DF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C09E4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849DB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A3A82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777F51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001F09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57768A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0F7D24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E4A92F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F49E7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6F1C0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92531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8A759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7CE12C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7B3059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9E9DBD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BA31E6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BD2D6D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28A07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448AF1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3728D7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CAA660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18D2D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5C5F3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BD78C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D036C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2D13B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FDB7F8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2B890D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98B14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5D5438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18CC3B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3C773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AB5E32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ED9202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AB388D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49609B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B003268"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9ABA1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7E0E27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5BA85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C571B8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C6F94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561BB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713BA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0A542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04B37F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AE791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0690F7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8368C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158642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7060FC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E98B55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37289B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C1A6F5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D2E8DC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E032E5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16A2C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E6F122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617E03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D01A8D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3B6706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9022F4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3DB874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7E2D27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3B1074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97220A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5AFD3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FB1AF7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EA5BC8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73D6AE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A3A985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4F3814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CB3265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FD264C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571986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EFE33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AED436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B3F684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A90964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7E11E7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259C55F"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8F58BB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EFD4917"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5E9C2E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3E6358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1A0B60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D738AD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4A2871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A264D09"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A662284"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B47106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04CE8D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8DDE4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A94C631"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88450C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71C537D"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4BBB0CA"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F79E8B5"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2E151D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90DF9D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836077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BCA3F92"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08F592D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5010056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11ACD19C"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2DF20B30"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39A40F26"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65E5EF0E"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10EC83"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414E442B" w14:textId="77777777" w:rsidR="000615E3" w:rsidRPr="000615E3" w:rsidRDefault="000615E3" w:rsidP="000615E3">
      <w:pPr>
        <w:widowControl/>
        <w:suppressAutoHyphens w:val="0"/>
        <w:autoSpaceDN/>
        <w:spacing w:after="160" w:line="259" w:lineRule="auto"/>
        <w:textAlignment w:val="auto"/>
        <w:rPr>
          <w:rFonts w:asciiTheme="minorHAnsi" w:eastAsiaTheme="minorHAnsi" w:hAnsiTheme="minorHAnsi" w:cstheme="minorBidi"/>
          <w:kern w:val="0"/>
          <w:sz w:val="22"/>
          <w:szCs w:val="22"/>
          <w:lang w:eastAsia="en-US" w:bidi="ar-SA"/>
        </w:rPr>
      </w:pPr>
    </w:p>
    <w:p w14:paraId="7299F2A5" w14:textId="77777777" w:rsidR="000615E3" w:rsidRDefault="000615E3">
      <w:pPr>
        <w:pStyle w:val="Standard"/>
        <w:jc w:val="both"/>
        <w:rPr>
          <w:rFonts w:ascii="Calibri" w:hAnsi="Calibri"/>
          <w:color w:val="222222"/>
          <w:shd w:val="clear" w:color="auto" w:fill="FFFFFF"/>
        </w:rPr>
      </w:pPr>
    </w:p>
    <w:sectPr w:rsidR="000615E3">
      <w:footerReference w:type="default" r:id="rId12"/>
      <w:headerReference w:type="first" r:id="rId13"/>
      <w:footerReference w:type="first" r:id="rId14"/>
      <w:pgSz w:w="11906" w:h="16838"/>
      <w:pgMar w:top="1701" w:right="1021" w:bottom="1588" w:left="102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16309" w14:textId="77777777" w:rsidR="006826AF" w:rsidRDefault="006826AF">
      <w:r>
        <w:separator/>
      </w:r>
    </w:p>
  </w:endnote>
  <w:endnote w:type="continuationSeparator" w:id="0">
    <w:p w14:paraId="38A2E01D" w14:textId="77777777" w:rsidR="006826AF" w:rsidRDefault="00682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F7573" w14:textId="77777777" w:rsidR="005E3797" w:rsidRDefault="00C61CBC">
    <w:pPr>
      <w:pStyle w:val="Footer"/>
      <w:jc w:val="center"/>
    </w:pPr>
    <w:r>
      <w:rPr>
        <w:noProof/>
      </w:rPr>
      <w:object w:dxaOrig="5450" w:dyaOrig="250" w14:anchorId="4FC09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1" o:spid="_x0000_i1025" type="#_x0000_t75" style="width:409.55pt;height:19.85pt;visibility:visible;mso-wrap-style:square">
          <v:imagedata r:id="rId1" o:title=""/>
        </v:shape>
        <o:OLEObject Type="Embed" ProgID="PBrush" ShapeID="Object1" DrawAspect="Content" ObjectID="_1673270423"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B3C4C" w14:textId="77777777" w:rsidR="005E3797" w:rsidRDefault="003058A1">
    <w:pPr>
      <w:pStyle w:val="Footer"/>
      <w:jc w:val="center"/>
      <w:rPr>
        <w:rFonts w:ascii="Tw Cen MT" w:hAnsi="Tw Cen MT" w:cs="Tw Cen MT"/>
        <w:color w:val="1B4A8B"/>
        <w:sz w:val="20"/>
        <w:szCs w:val="20"/>
      </w:rPr>
    </w:pPr>
    <w:r>
      <w:rPr>
        <w:rFonts w:ascii="Tw Cen MT" w:hAnsi="Tw Cen MT" w:cs="Tw Cen MT"/>
        <w:color w:val="1B4A8B"/>
        <w:sz w:val="20"/>
        <w:szCs w:val="20"/>
      </w:rPr>
      <w:t>Clyde Veterinary Group is a trading name of Clyde Vets Ltd, a company registered in Scotland,</w:t>
    </w:r>
  </w:p>
  <w:p w14:paraId="508510F1" w14:textId="77777777" w:rsidR="005E3797" w:rsidRDefault="003058A1">
    <w:pPr>
      <w:pStyle w:val="Footer"/>
      <w:jc w:val="center"/>
      <w:rPr>
        <w:rFonts w:ascii="Tw Cen MT" w:hAnsi="Tw Cen MT" w:cs="Tw Cen MT"/>
        <w:color w:val="1B4A8B"/>
        <w:sz w:val="20"/>
        <w:szCs w:val="20"/>
      </w:rPr>
    </w:pPr>
    <w:r>
      <w:rPr>
        <w:rFonts w:ascii="Tw Cen MT" w:hAnsi="Tw Cen MT" w:cs="Tw Cen MT"/>
        <w:color w:val="1B4A8B"/>
        <w:sz w:val="20"/>
        <w:szCs w:val="20"/>
      </w:rPr>
      <w:t>Company number SC437346 Registered address 171 Mayfield Road, Edinburgh EH9 3AZ VAT Reg. No. 228 9288 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E479C" w14:textId="77777777" w:rsidR="006826AF" w:rsidRDefault="006826AF">
      <w:r>
        <w:rPr>
          <w:color w:val="000000"/>
        </w:rPr>
        <w:separator/>
      </w:r>
    </w:p>
  </w:footnote>
  <w:footnote w:type="continuationSeparator" w:id="0">
    <w:p w14:paraId="421FF797" w14:textId="77777777" w:rsidR="006826AF" w:rsidRDefault="00682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AF4D" w14:textId="77777777" w:rsidR="005E3797" w:rsidRDefault="003058A1">
    <w:pPr>
      <w:pStyle w:val="Header"/>
      <w:rPr>
        <w:rFonts w:ascii="Tw Cen MT" w:hAnsi="Tw Cen MT" w:cs="Tw Cen MT"/>
        <w:color w:val="1B4A8B"/>
        <w:sz w:val="14"/>
        <w:szCs w:val="14"/>
        <w:lang w:val="en-US"/>
      </w:rPr>
    </w:pPr>
    <w:r>
      <w:rPr>
        <w:rFonts w:ascii="Tw Cen MT" w:hAnsi="Tw Cen MT" w:cs="Tw Cen MT"/>
        <w:noProof/>
        <w:color w:val="1B4A8B"/>
        <w:sz w:val="14"/>
        <w:szCs w:val="14"/>
        <w:lang w:val="en-US"/>
      </w:rPr>
      <mc:AlternateContent>
        <mc:Choice Requires="wps">
          <w:drawing>
            <wp:anchor distT="0" distB="0" distL="114300" distR="114300" simplePos="0" relativeHeight="251661312" behindDoc="1" locked="0" layoutInCell="1" allowOverlap="1" wp14:anchorId="2A726B7C" wp14:editId="02924B1E">
              <wp:simplePos x="0" y="0"/>
              <wp:positionH relativeFrom="column">
                <wp:posOffset>1429919</wp:posOffset>
              </wp:positionH>
              <wp:positionV relativeFrom="paragraph">
                <wp:posOffset>-375120</wp:posOffset>
              </wp:positionV>
              <wp:extent cx="14760" cy="14760"/>
              <wp:effectExtent l="0" t="0" r="0" b="0"/>
              <wp:wrapNone/>
              <wp:docPr id="2" name="Frame1"/>
              <wp:cNvGraphicFramePr/>
              <a:graphic xmlns:a="http://schemas.openxmlformats.org/drawingml/2006/main">
                <a:graphicData uri="http://schemas.microsoft.com/office/word/2010/wordprocessingShape">
                  <wps:wsp>
                    <wps:cNvSpPr txBox="1"/>
                    <wps:spPr>
                      <a:xfrm>
                        <a:off x="0" y="0"/>
                        <a:ext cx="14760" cy="14760"/>
                      </a:xfrm>
                      <a:prstGeom prst="rect">
                        <a:avLst/>
                      </a:prstGeom>
                      <a:ln>
                        <a:noFill/>
                        <a:prstDash/>
                      </a:ln>
                    </wps:spPr>
                    <wps:txbx>
                      <w:txbxContent>
                        <w:p w14:paraId="0AF9D4CC" w14:textId="77777777" w:rsidR="005E3797" w:rsidRDefault="003058A1">
                          <w:pPr>
                            <w:pStyle w:val="Standard"/>
                          </w:pPr>
                          <w:r>
                            <w:rPr>
                              <w:noProof/>
                            </w:rPr>
                            <w:drawing>
                              <wp:inline distT="0" distB="0" distL="0" distR="0" wp14:anchorId="4BDC131B" wp14:editId="54D5C142">
                                <wp:extent cx="3115800" cy="1543680"/>
                                <wp:effectExtent l="0" t="0" r="8400" b="0"/>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115800" cy="1543680"/>
                                        </a:xfrm>
                                        <a:prstGeom prst="rect">
                                          <a:avLst/>
                                        </a:prstGeom>
                                        <a:ln>
                                          <a:noFill/>
                                          <a:prstDash/>
                                        </a:ln>
                                      </pic:spPr>
                                    </pic:pic>
                                  </a:graphicData>
                                </a:graphic>
                              </wp:inline>
                            </w:drawing>
                          </w:r>
                        </w:p>
                      </w:txbxContent>
                    </wps:txbx>
                    <wps:bodyPr vert="horz" wrap="none" lIns="100800" tIns="55080" rIns="100800" bIns="5508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112.6pt;margin-top:-29.55pt;width:1.15pt;height:1.1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" filled="f" stroked="f">
              <v:textbox style="mso-fit-shape-to-text:t" inset="2.8mm,1.53mm,2.8mm,1.53mm">
                <w:txbxContent>
                  <w:p w:rsidR="005E3797" w:rsidRDefault="003058A1">
                    <w:pPr>
                      <w:pStyle w:val="Standard"/>
                    </w:pPr>
                    <w:r>
                      <w:rPr>
                        <w:noProof/>
                      </w:rPr>
                      <w:drawing>
                        <wp:inline distT="0" distB="0" distL="0" distR="0">
                          <wp:extent cx="3115800" cy="1543680"/>
                          <wp:effectExtent l="0" t="0" r="8400" b="0"/>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115800" cy="1543680"/>
                                  </a:xfrm>
                                  <a:prstGeom prst="rect">
                                    <a:avLst/>
                                  </a:prstGeom>
                                  <a:ln>
                                    <a:noFill/>
                                    <a:prstDash/>
                                  </a:ln>
                                </pic:spPr>
                              </pic:pic>
                            </a:graphicData>
                          </a:graphic>
                        </wp:inline>
                      </w:drawing>
                    </w:r>
                  </w:p>
                </w:txbxContent>
              </v:textbox>
            </v:shape>
          </w:pict>
        </mc:Fallback>
      </mc:AlternateContent>
    </w:r>
  </w:p>
  <w:p w14:paraId="41782258" w14:textId="77777777" w:rsidR="005E3797" w:rsidRDefault="006826AF">
    <w:pPr>
      <w:pStyle w:val="Header"/>
      <w:rPr>
        <w:rFonts w:ascii="Tw Cen MT" w:hAnsi="Tw Cen MT" w:cs="Tw Cen MT"/>
        <w:color w:val="1B4A8B"/>
        <w:sz w:val="14"/>
        <w:szCs w:val="14"/>
      </w:rPr>
    </w:pPr>
  </w:p>
  <w:p w14:paraId="38CA7019" w14:textId="77777777" w:rsidR="005E3797" w:rsidRDefault="006826AF">
    <w:pPr>
      <w:pStyle w:val="Header"/>
      <w:rPr>
        <w:rFonts w:ascii="Tw Cen MT" w:hAnsi="Tw Cen MT" w:cs="Tw Cen MT"/>
        <w:color w:val="1B4A8B"/>
        <w:sz w:val="14"/>
        <w:szCs w:val="14"/>
      </w:rPr>
    </w:pPr>
  </w:p>
  <w:p w14:paraId="493B38A9" w14:textId="77777777" w:rsidR="005E3797" w:rsidRDefault="003058A1">
    <w:pPr>
      <w:pStyle w:val="Header"/>
      <w:rPr>
        <w:rFonts w:ascii="Tw Cen MT" w:hAnsi="Tw Cen MT" w:cs="Tw Cen MT"/>
        <w:color w:val="1B4A8B"/>
        <w:sz w:val="14"/>
        <w:szCs w:val="14"/>
      </w:rPr>
    </w:pPr>
    <w:r>
      <w:rPr>
        <w:rFonts w:ascii="Tw Cen MT" w:hAnsi="Tw Cen MT" w:cs="Tw Cen MT"/>
        <w:noProof/>
        <w:color w:val="1B4A8B"/>
        <w:sz w:val="14"/>
        <w:szCs w:val="14"/>
      </w:rPr>
      <mc:AlternateContent>
        <mc:Choice Requires="wps">
          <w:drawing>
            <wp:anchor distT="0" distB="0" distL="114300" distR="114300" simplePos="0" relativeHeight="251659264" behindDoc="1" locked="0" layoutInCell="1" allowOverlap="1" wp14:anchorId="415873EC" wp14:editId="7963FD26">
              <wp:simplePos x="0" y="0"/>
              <wp:positionH relativeFrom="column">
                <wp:posOffset>56520</wp:posOffset>
              </wp:positionH>
              <wp:positionV relativeFrom="paragraph">
                <wp:posOffset>93240</wp:posOffset>
              </wp:positionV>
              <wp:extent cx="1241280" cy="735480"/>
              <wp:effectExtent l="0" t="0" r="0" b="0"/>
              <wp:wrapNone/>
              <wp:docPr id="3" name="Frame3"/>
              <wp:cNvGraphicFramePr/>
              <a:graphic xmlns:a="http://schemas.openxmlformats.org/drawingml/2006/main">
                <a:graphicData uri="http://schemas.microsoft.com/office/word/2010/wordprocessingShape">
                  <wps:wsp>
                    <wps:cNvSpPr txBox="1"/>
                    <wps:spPr>
                      <a:xfrm>
                        <a:off x="0" y="0"/>
                        <a:ext cx="1241280" cy="735480"/>
                      </a:xfrm>
                      <a:prstGeom prst="rect">
                        <a:avLst/>
                      </a:prstGeom>
                      <a:ln>
                        <a:noFill/>
                        <a:prstDash/>
                      </a:ln>
                    </wps:spPr>
                    <wps:txbx>
                      <w:txbxContent>
                        <w:p w14:paraId="22B08690"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Lanark Practice</w:t>
                          </w:r>
                        </w:p>
                        <w:p w14:paraId="6926FCAE"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New Market</w:t>
                          </w:r>
                        </w:p>
                        <w:p w14:paraId="17B88C29"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Lanark</w:t>
                          </w:r>
                        </w:p>
                        <w:p w14:paraId="1DE5B86B"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ML11 9SZ</w:t>
                          </w:r>
                        </w:p>
                        <w:p w14:paraId="10E0AB34"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01555 660000</w:t>
                          </w:r>
                        </w:p>
                        <w:p w14:paraId="1614A490" w14:textId="77777777" w:rsidR="005E3797" w:rsidRDefault="006826AF">
                          <w:pPr>
                            <w:pStyle w:val="Standard"/>
                          </w:pPr>
                        </w:p>
                      </w:txbxContent>
                    </wps:txbx>
                    <wps:bodyPr vert="horz" wrap="none" lIns="100800" tIns="55080" rIns="100800" bIns="55080" compatLnSpc="0">
                      <a:noAutofit/>
                    </wps:bodyPr>
                  </wps:wsp>
                </a:graphicData>
              </a:graphic>
            </wp:anchor>
          </w:drawing>
        </mc:Choice>
        <mc:Fallback>
          <w:pict>
            <v:shape id="Frame3" o:spid="_x0000_s1027" type="#_x0000_t202" style="position:absolute;margin-left:4.45pt;margin-top:7.35pt;width:97.75pt;height:57.9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" filled="f" stroked="f">
              <v:textbox inset="2.8mm,1.53mm,2.8mm,1.53mm">
                <w:txbxContent>
                  <w:p w:rsidR="005E3797" w:rsidRDefault="003058A1">
                    <w:pPr>
                      <w:pStyle w:val="Header"/>
                      <w:tabs>
                        <w:tab w:val="clear" w:pos="8306"/>
                        <w:tab w:val="right" w:pos="9498"/>
                      </w:tabs>
                      <w:rPr>
                        <w:rFonts w:ascii="Tw Cen MT" w:hAnsi="Tw Cen MT" w:cs="Tw Cen MT"/>
                        <w:color w:val="1B4A8B"/>
                        <w:sz w:val="20"/>
                        <w:szCs w:val="20"/>
                        <w:lang w:val="en-GB"/>
                      </w:rPr>
                    </w:pPr>
                    <w:r>
                      <w:rPr>
                        <w:rFonts w:ascii="Tw Cen MT" w:hAnsi="Tw Cen MT" w:cs="Tw Cen MT"/>
                        <w:color w:val="1B4A8B"/>
                        <w:sz w:val="20"/>
                        <w:szCs w:val="20"/>
                        <w:lang w:val="en-GB"/>
                      </w:rPr>
                      <w:t>Lanark Practice</w:t>
                    </w:r>
                  </w:p>
                  <w:p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New Market</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Lanark</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ML11 9SZ</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01555 660000</w:t>
                    </w:r>
                  </w:p>
                  <w:p w:rsidR="005E3797" w:rsidRDefault="003058A1">
                    <w:pPr>
                      <w:pStyle w:val="Standard"/>
                    </w:pPr>
                  </w:p>
                </w:txbxContent>
              </v:textbox>
            </v:shape>
          </w:pict>
        </mc:Fallback>
      </mc:AlternateContent>
    </w:r>
  </w:p>
  <w:p w14:paraId="7FF99377" w14:textId="77777777" w:rsidR="005E3797" w:rsidRDefault="003058A1">
    <w:pPr>
      <w:pStyle w:val="Standard"/>
      <w:widowControl w:val="0"/>
      <w:autoSpaceDE w:val="0"/>
      <w:spacing w:line="194" w:lineRule="auto"/>
      <w:rPr>
        <w:rFonts w:ascii="Tw Cen MT" w:hAnsi="Tw Cen MT" w:cs="Tw Cen MT"/>
        <w:color w:val="1B4A8B"/>
        <w:sz w:val="14"/>
        <w:szCs w:val="14"/>
      </w:rPr>
    </w:pPr>
    <w:r>
      <w:rPr>
        <w:rFonts w:ascii="Tw Cen MT" w:hAnsi="Tw Cen MT" w:cs="Tw Cen MT"/>
        <w:noProof/>
        <w:color w:val="1B4A8B"/>
        <w:sz w:val="14"/>
        <w:szCs w:val="14"/>
      </w:rPr>
      <mc:AlternateContent>
        <mc:Choice Requires="wps">
          <w:drawing>
            <wp:anchor distT="0" distB="0" distL="114300" distR="114300" simplePos="0" relativeHeight="251660288" behindDoc="1" locked="0" layoutInCell="1" allowOverlap="1" wp14:anchorId="0BF3988A" wp14:editId="1B2F91D2">
              <wp:simplePos x="0" y="0"/>
              <wp:positionH relativeFrom="column">
                <wp:posOffset>4839840</wp:posOffset>
              </wp:positionH>
              <wp:positionV relativeFrom="paragraph">
                <wp:posOffset>48240</wp:posOffset>
              </wp:positionV>
              <wp:extent cx="1674360" cy="735480"/>
              <wp:effectExtent l="0" t="0" r="0" b="0"/>
              <wp:wrapNone/>
              <wp:docPr id="4" name="Frame2"/>
              <wp:cNvGraphicFramePr/>
              <a:graphic xmlns:a="http://schemas.openxmlformats.org/drawingml/2006/main">
                <a:graphicData uri="http://schemas.microsoft.com/office/word/2010/wordprocessingShape">
                  <wps:wsp>
                    <wps:cNvSpPr txBox="1"/>
                    <wps:spPr>
                      <a:xfrm>
                        <a:off x="0" y="0"/>
                        <a:ext cx="1674360" cy="735480"/>
                      </a:xfrm>
                      <a:prstGeom prst="rect">
                        <a:avLst/>
                      </a:prstGeom>
                      <a:ln>
                        <a:noFill/>
                        <a:prstDash/>
                      </a:ln>
                    </wps:spPr>
                    <wps:txbx>
                      <w:txbxContent>
                        <w:p w14:paraId="7DBC372E"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Stirling Practice</w:t>
                          </w:r>
                        </w:p>
                        <w:p w14:paraId="389DD1E7" w14:textId="77777777" w:rsidR="005E3797" w:rsidRDefault="003058A1">
                          <w:pPr>
                            <w:pStyle w:val="Header"/>
                            <w:tabs>
                              <w:tab w:val="clear" w:pos="8306"/>
                              <w:tab w:val="right" w:pos="9498"/>
                            </w:tabs>
                            <w:rPr>
                              <w:rFonts w:ascii="Tw Cen MT" w:hAnsi="Tw Cen MT" w:cs="Tw Cen MT"/>
                              <w:color w:val="1B4A8B"/>
                              <w:sz w:val="20"/>
                              <w:szCs w:val="20"/>
                            </w:rPr>
                          </w:pPr>
                          <w:r>
                            <w:rPr>
                              <w:rFonts w:ascii="Tw Cen MT" w:hAnsi="Tw Cen MT" w:cs="Tw Cen MT"/>
                              <w:color w:val="1B4A8B"/>
                              <w:sz w:val="20"/>
                              <w:szCs w:val="20"/>
                            </w:rPr>
                            <w:t>Stirling Agricultural Centre</w:t>
                          </w:r>
                        </w:p>
                        <w:p w14:paraId="198A5DDE"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Stirling</w:t>
                          </w:r>
                        </w:p>
                        <w:p w14:paraId="6C3FC40B"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FK9 4RN</w:t>
                          </w:r>
                        </w:p>
                        <w:p w14:paraId="6550D540" w14:textId="77777777"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01786 231198</w:t>
                          </w:r>
                        </w:p>
                      </w:txbxContent>
                    </wps:txbx>
                    <wps:bodyPr vert="horz" wrap="none" lIns="100800" tIns="55080" rIns="100800" bIns="55080" compatLnSpc="0">
                      <a:noAutofit/>
                    </wps:bodyPr>
                  </wps:wsp>
                </a:graphicData>
              </a:graphic>
            </wp:anchor>
          </w:drawing>
        </mc:Choice>
        <mc:Fallback>
          <w:pict>
            <v:shape id="Frame2" o:spid="_x0000_s1028" type="#_x0000_t202" style="position:absolute;margin-left:381.1pt;margin-top:3.8pt;width:131.85pt;height:57.9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" filled="f" stroked="f">
              <v:textbox inset="2.8mm,1.53mm,2.8mm,1.53mm">
                <w:txbxContent>
                  <w:p w:rsidR="005E3797" w:rsidRDefault="003058A1">
                    <w:pPr>
                      <w:pStyle w:val="Header"/>
                      <w:tabs>
                        <w:tab w:val="clear" w:pos="8306"/>
                        <w:tab w:val="right" w:pos="9498"/>
                      </w:tabs>
                      <w:rPr>
                        <w:rFonts w:ascii="Tw Cen MT" w:hAnsi="Tw Cen MT" w:cs="Tw Cen MT"/>
                        <w:color w:val="1B4A8B"/>
                        <w:sz w:val="20"/>
                        <w:szCs w:val="20"/>
                        <w:lang w:val="en-GB"/>
                      </w:rPr>
                    </w:pPr>
                    <w:r>
                      <w:rPr>
                        <w:rFonts w:ascii="Tw Cen MT" w:hAnsi="Tw Cen MT" w:cs="Tw Cen MT"/>
                        <w:color w:val="1B4A8B"/>
                        <w:sz w:val="20"/>
                        <w:szCs w:val="20"/>
                        <w:lang w:val="en-GB"/>
                      </w:rPr>
                      <w:t>Stirling Practice</w:t>
                    </w:r>
                  </w:p>
                  <w:p w:rsidR="005E3797" w:rsidRDefault="003058A1">
                    <w:pPr>
                      <w:pStyle w:val="Header"/>
                      <w:tabs>
                        <w:tab w:val="clear" w:pos="8306"/>
                        <w:tab w:val="right" w:pos="9498"/>
                      </w:tabs>
                      <w:rPr>
                        <w:rFonts w:ascii="Tw Cen MT" w:hAnsi="Tw Cen MT" w:cs="Tw Cen MT"/>
                        <w:color w:val="1B4A8B"/>
                        <w:sz w:val="20"/>
                        <w:szCs w:val="20"/>
                        <w:lang w:val="en-GB"/>
                      </w:rPr>
                    </w:pPr>
                    <w:r>
                      <w:rPr>
                        <w:rFonts w:ascii="Tw Cen MT" w:hAnsi="Tw Cen MT" w:cs="Tw Cen MT"/>
                        <w:color w:val="1B4A8B"/>
                        <w:sz w:val="20"/>
                        <w:szCs w:val="20"/>
                        <w:lang w:val="en-GB"/>
                      </w:rPr>
                      <w:t>Stirling Agricultural Centre</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Stirling</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FK9 4RN</w:t>
                    </w:r>
                  </w:p>
                  <w:p w:rsidR="005E3797" w:rsidRDefault="003058A1">
                    <w:pPr>
                      <w:pStyle w:val="Standard"/>
                      <w:widowControl w:val="0"/>
                      <w:autoSpaceDE w:val="0"/>
                      <w:spacing w:line="194" w:lineRule="auto"/>
                      <w:rPr>
                        <w:rFonts w:ascii="Tw Cen MT" w:hAnsi="Tw Cen MT" w:cs="Tw Cen MT"/>
                        <w:color w:val="1B4A8B"/>
                        <w:sz w:val="20"/>
                        <w:szCs w:val="20"/>
                      </w:rPr>
                    </w:pPr>
                    <w:r>
                      <w:rPr>
                        <w:rFonts w:ascii="Tw Cen MT" w:hAnsi="Tw Cen MT" w:cs="Tw Cen MT"/>
                        <w:color w:val="1B4A8B"/>
                        <w:sz w:val="20"/>
                        <w:szCs w:val="20"/>
                      </w:rPr>
                      <w:t>Tel: 01786 231198</w:t>
                    </w:r>
                  </w:p>
                </w:txbxContent>
              </v:textbox>
            </v:shape>
          </w:pict>
        </mc:Fallback>
      </mc:AlternateContent>
    </w:r>
    <w:r>
      <w:rPr>
        <w:rFonts w:ascii="Tw Cen MT" w:hAnsi="Tw Cen MT" w:cs="Tw Cen MT"/>
        <w:color w:val="1B4A8B"/>
        <w:sz w:val="14"/>
        <w:szCs w:val="14"/>
      </w:rPr>
      <w:tab/>
    </w:r>
    <w:r>
      <w:rPr>
        <w:rFonts w:ascii="Tw Cen MT" w:hAnsi="Tw Cen MT" w:cs="Tw Cen MT"/>
        <w:color w:val="1B4A8B"/>
        <w:sz w:val="14"/>
        <w:szCs w:val="14"/>
      </w:rPr>
      <w:tab/>
    </w:r>
    <w:r>
      <w:rPr>
        <w:rFonts w:ascii="Tw Cen MT" w:hAnsi="Tw Cen MT" w:cs="Tw Cen MT"/>
        <w:color w:val="1B4A8B"/>
        <w:sz w:val="14"/>
        <w:szCs w:val="14"/>
      </w:rPr>
      <w:tab/>
      <w:t xml:space="preserve">       </w:t>
    </w:r>
  </w:p>
  <w:p w14:paraId="249B47E6" w14:textId="77777777" w:rsidR="005E3797" w:rsidRDefault="006826AF">
    <w:pPr>
      <w:pStyle w:val="Standard"/>
      <w:widowControl w:val="0"/>
      <w:autoSpaceDE w:val="0"/>
      <w:spacing w:line="194" w:lineRule="auto"/>
      <w:jc w:val="center"/>
      <w:rPr>
        <w:rFonts w:ascii="Tw Cen MT" w:hAnsi="Tw Cen MT" w:cs="Tw Cen MT"/>
        <w:color w:val="1B4A8B"/>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F61A3"/>
    <w:multiLevelType w:val="multilevel"/>
    <w:tmpl w:val="0B02CC4E"/>
    <w:styleLink w:val="WW8Num2"/>
    <w:lvl w:ilvl="0">
      <w:numFmt w:val="bullet"/>
      <w:lvlText w:val=""/>
      <w:lvlJc w:val="left"/>
      <w:pPr>
        <w:ind w:left="780" w:hanging="360"/>
      </w:pPr>
      <w:rPr>
        <w:rFonts w:ascii="Symbol" w:hAnsi="Symbol" w:cs="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cs="Wingdings"/>
      </w:rPr>
    </w:lvl>
    <w:lvl w:ilvl="3">
      <w:numFmt w:val="bullet"/>
      <w:lvlText w:val=""/>
      <w:lvlJc w:val="left"/>
      <w:pPr>
        <w:ind w:left="2940" w:hanging="360"/>
      </w:pPr>
      <w:rPr>
        <w:rFonts w:ascii="Symbol" w:hAnsi="Symbol" w:cs="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cs="Wingdings"/>
      </w:rPr>
    </w:lvl>
    <w:lvl w:ilvl="6">
      <w:numFmt w:val="bullet"/>
      <w:lvlText w:val=""/>
      <w:lvlJc w:val="left"/>
      <w:pPr>
        <w:ind w:left="5100" w:hanging="360"/>
      </w:pPr>
      <w:rPr>
        <w:rFonts w:ascii="Symbol" w:hAnsi="Symbol" w:cs="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cs="Wingdings"/>
      </w:rPr>
    </w:lvl>
  </w:abstractNum>
  <w:abstractNum w:abstractNumId="1" w15:restartNumberingAfterBreak="0">
    <w:nsid w:val="4BE96E0C"/>
    <w:multiLevelType w:val="multilevel"/>
    <w:tmpl w:val="0CF8092C"/>
    <w:styleLink w:val="WW8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3EB"/>
    <w:rsid w:val="000246C8"/>
    <w:rsid w:val="000374BC"/>
    <w:rsid w:val="000615E3"/>
    <w:rsid w:val="000A27BC"/>
    <w:rsid w:val="001A0967"/>
    <w:rsid w:val="001D47BA"/>
    <w:rsid w:val="00233081"/>
    <w:rsid w:val="00280C40"/>
    <w:rsid w:val="003058A1"/>
    <w:rsid w:val="003153EB"/>
    <w:rsid w:val="00332897"/>
    <w:rsid w:val="003F5B34"/>
    <w:rsid w:val="00411DFF"/>
    <w:rsid w:val="004641CD"/>
    <w:rsid w:val="00570DB2"/>
    <w:rsid w:val="005E046A"/>
    <w:rsid w:val="00645383"/>
    <w:rsid w:val="006826AF"/>
    <w:rsid w:val="006E298E"/>
    <w:rsid w:val="0072604C"/>
    <w:rsid w:val="00891FEC"/>
    <w:rsid w:val="008A30E4"/>
    <w:rsid w:val="00973F75"/>
    <w:rsid w:val="009A1F18"/>
    <w:rsid w:val="009B1169"/>
    <w:rsid w:val="00A84419"/>
    <w:rsid w:val="00B23236"/>
    <w:rsid w:val="00BA3336"/>
    <w:rsid w:val="00C0445F"/>
    <w:rsid w:val="00C61CBC"/>
    <w:rsid w:val="00D65877"/>
    <w:rsid w:val="00DA20F6"/>
    <w:rsid w:val="00FF75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3E9D4"/>
  <w15:docId w15:val="{FB58C8C1-B67D-4895-AFAB-6E5DE092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uiPriority w:val="9"/>
    <w:qFormat/>
    <w:pPr>
      <w:keepNext/>
      <w:tabs>
        <w:tab w:val="left" w:pos="5940"/>
        <w:tab w:val="left" w:pos="8100"/>
        <w:tab w:val="left" w:pos="8280"/>
        <w:tab w:val="left" w:pos="8460"/>
      </w:tabs>
      <w:jc w:val="center"/>
      <w:outlineLvl w:val="0"/>
    </w:pPr>
    <w:rPr>
      <w:b/>
      <w:bCs/>
    </w:rPr>
  </w:style>
  <w:style w:type="paragraph" w:styleId="Heading3">
    <w:name w:val="heading 3"/>
    <w:basedOn w:val="Standard"/>
    <w:next w:val="Standard"/>
    <w:uiPriority w:val="9"/>
    <w:semiHidden/>
    <w:unhideWhenUsed/>
    <w:qFormat/>
    <w:pPr>
      <w:keepNext/>
      <w:tabs>
        <w:tab w:val="left" w:pos="5940"/>
        <w:tab w:val="left" w:pos="8100"/>
      </w:tabs>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Header">
    <w:name w:val="header"/>
    <w:basedOn w:val="Standard"/>
    <w:pPr>
      <w:tabs>
        <w:tab w:val="center" w:pos="4153"/>
        <w:tab w:val="right" w:pos="8306"/>
      </w:tabs>
    </w:pPr>
  </w:style>
  <w:style w:type="paragraph" w:styleId="Footer">
    <w:name w:val="footer"/>
    <w:basedOn w:val="Standard"/>
    <w:pPr>
      <w:tabs>
        <w:tab w:val="center" w:pos="4153"/>
        <w:tab w:val="right" w:pos="8306"/>
      </w:tabs>
    </w:pPr>
  </w:style>
  <w:style w:type="paragraph" w:styleId="BalloonText">
    <w:name w:val="Balloon Text"/>
    <w:basedOn w:val="Standard"/>
    <w:rPr>
      <w:rFonts w:ascii="Tahoma" w:hAnsi="Tahoma" w:cs="Tahoma"/>
      <w:sz w:val="16"/>
      <w:szCs w:val="16"/>
    </w:rPr>
  </w:style>
  <w:style w:type="paragraph" w:customStyle="1" w:styleId="Framecontents">
    <w:name w:val="Frame contents"/>
    <w:basedOn w:val="Textbody"/>
  </w:style>
  <w:style w:type="paragraph" w:styleId="NoSpacing">
    <w:name w:val="No Spacing"/>
    <w:pPr>
      <w:widowControl/>
    </w:pPr>
    <w:rPr>
      <w:rFonts w:ascii="Calibri" w:eastAsia="Times New Roman" w:hAnsi="Calibri" w:cs="Calibri"/>
      <w:sz w:val="22"/>
      <w:szCs w:val="22"/>
      <w:lang w:val="en-US" w:bidi="ar-SA"/>
    </w:rPr>
  </w:style>
  <w:style w:type="paragraph" w:customStyle="1" w:styleId="western">
    <w:name w:val="western"/>
    <w:basedOn w:val="Standard"/>
    <w:pPr>
      <w:spacing w:before="280" w:after="119"/>
    </w:p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HeaderChar">
    <w:name w:val="Header Char"/>
    <w:rPr>
      <w:sz w:val="24"/>
      <w:szCs w:val="24"/>
    </w:rPr>
  </w:style>
  <w:style w:type="character" w:customStyle="1" w:styleId="Internetlink">
    <w:name w:val="Internet link"/>
    <w:rPr>
      <w:color w:val="0000FF"/>
      <w:u w:val="single"/>
    </w:rPr>
  </w:style>
  <w:style w:type="character" w:customStyle="1" w:styleId="Heading1Char">
    <w:name w:val="Heading 1 Char"/>
    <w:rPr>
      <w:b/>
      <w:bCs/>
      <w:sz w:val="24"/>
      <w:szCs w:val="24"/>
    </w:rPr>
  </w:style>
  <w:style w:type="character" w:customStyle="1" w:styleId="Heading3Char">
    <w:name w:val="Heading 3 Char"/>
    <w:rPr>
      <w:b/>
      <w:bCs/>
      <w:sz w:val="24"/>
      <w:szCs w:val="24"/>
    </w:rPr>
  </w:style>
  <w:style w:type="character" w:customStyle="1" w:styleId="FooterChar">
    <w:name w:val="Footer Char"/>
    <w:rPr>
      <w:sz w:val="24"/>
      <w:szCs w:val="24"/>
    </w:rPr>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910</Words>
  <Characters>5187</Characters>
  <Application>Microsoft Office Word</Application>
  <DocSecurity>0</DocSecurity>
  <Lines>43</Lines>
  <Paragraphs>12</Paragraphs>
  <ScaleCrop>false</ScaleCrop>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Administrator</dc:creator>
  <cp:lastModifiedBy>Harry Langley</cp:lastModifiedBy>
  <cp:revision>4</cp:revision>
  <cp:lastPrinted>2016-01-07T12:02:00Z</cp:lastPrinted>
  <dcterms:created xsi:type="dcterms:W3CDTF">2020-10-11T14:24:00Z</dcterms:created>
  <dcterms:modified xsi:type="dcterms:W3CDTF">2021-01-27T16:34:00Z</dcterms:modified>
</cp:coreProperties>
</file>